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80" w:lineRule="exact"/>
        <w:jc w:val="both"/>
        <w:rPr>
          <w:rFonts w:ascii="方正小标宋简体" w:hAnsi="方正小标宋简体" w:eastAsia="方正小标宋简体" w:cs="方正小标宋简体"/>
          <w:color w:val="000000" w:themeColor="text1"/>
          <w:sz w:val="44"/>
          <w:szCs w:val="44"/>
          <w:shd w:val="clear" w:color="auto" w:fill="FFFFFF"/>
        </w:rPr>
      </w:pPr>
    </w:p>
    <w:p>
      <w:pPr>
        <w:pStyle w:val="4"/>
        <w:widowControl/>
        <w:spacing w:beforeAutospacing="0" w:afterAutospacing="0" w:line="600" w:lineRule="exact"/>
        <w:jc w:val="center"/>
        <w:rPr>
          <w:rStyle w:val="9"/>
          <w:rFonts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fldChar w:fldCharType="begin"/>
      </w:r>
      <w:r>
        <w:rPr>
          <w:rFonts w:hint="eastAsia" w:ascii="方正小标宋简体" w:hAnsi="方正小标宋简体" w:eastAsia="方正小标宋简体" w:cs="方正小标宋简体"/>
          <w:color w:val="000000" w:themeColor="text1"/>
          <w:sz w:val="44"/>
          <w:szCs w:val="44"/>
          <w:shd w:val="clear" w:color="auto" w:fill="FFFFFF"/>
        </w:rPr>
        <w:instrText xml:space="preserve"> HYPERLINK "http://hrss.jl.gov.cn/zh/ghtj/ghtj/201805/javascript:void(0)" \o "吉林省人社厅部门预决算信息公开管理办法"</w:instrText>
      </w:r>
      <w:r>
        <w:rPr>
          <w:rFonts w:hint="eastAsia" w:ascii="方正小标宋简体" w:hAnsi="方正小标宋简体" w:eastAsia="方正小标宋简体" w:cs="方正小标宋简体"/>
          <w:color w:val="000000" w:themeColor="text1"/>
          <w:sz w:val="44"/>
          <w:szCs w:val="44"/>
          <w:shd w:val="clear" w:color="auto" w:fill="FFFFFF"/>
        </w:rPr>
        <w:fldChar w:fldCharType="separate"/>
      </w:r>
      <w:r>
        <w:rPr>
          <w:rStyle w:val="9"/>
          <w:rFonts w:hint="eastAsia" w:ascii="方正小标宋简体" w:hAnsi="方正小标宋简体" w:eastAsia="方正小标宋简体" w:cs="方正小标宋简体"/>
          <w:color w:val="000000" w:themeColor="text1"/>
          <w:sz w:val="44"/>
          <w:szCs w:val="44"/>
          <w:shd w:val="clear" w:color="auto" w:fill="FFFFFF"/>
        </w:rPr>
        <w:t>中共云南省委宣传部部门预决算</w:t>
      </w:r>
    </w:p>
    <w:p>
      <w:pPr>
        <w:pStyle w:val="4"/>
        <w:widowControl/>
        <w:spacing w:beforeAutospacing="0" w:afterAutospacing="0" w:line="600" w:lineRule="exact"/>
        <w:jc w:val="center"/>
        <w:rPr>
          <w:rFonts w:ascii="方正小标宋简体" w:hAnsi="方正小标宋简体" w:eastAsia="方正小标宋简体" w:cs="方正小标宋简体"/>
          <w:color w:val="000000" w:themeColor="text1"/>
          <w:sz w:val="44"/>
          <w:szCs w:val="44"/>
          <w:shd w:val="clear" w:color="auto" w:fill="FFFFFF"/>
        </w:rPr>
      </w:pPr>
      <w:r>
        <w:rPr>
          <w:rStyle w:val="9"/>
          <w:rFonts w:hint="eastAsia" w:ascii="方正小标宋简体" w:hAnsi="方正小标宋简体" w:eastAsia="方正小标宋简体" w:cs="方正小标宋简体"/>
          <w:color w:val="000000" w:themeColor="text1"/>
          <w:sz w:val="44"/>
          <w:szCs w:val="44"/>
          <w:shd w:val="clear" w:color="auto" w:fill="FFFFFF"/>
        </w:rPr>
        <w:t>信息公开管理办法</w:t>
      </w:r>
      <w:r>
        <w:rPr>
          <w:rFonts w:hint="eastAsia" w:ascii="方正小标宋简体" w:hAnsi="方正小标宋简体" w:eastAsia="方正小标宋简体" w:cs="方正小标宋简体"/>
          <w:color w:val="000000" w:themeColor="text1"/>
          <w:sz w:val="44"/>
          <w:szCs w:val="44"/>
          <w:shd w:val="clear" w:color="auto" w:fill="FFFFFF"/>
        </w:rPr>
        <w:fldChar w:fldCharType="end"/>
      </w:r>
    </w:p>
    <w:p>
      <w:pPr>
        <w:pStyle w:val="4"/>
        <w:widowControl/>
        <w:spacing w:beforeAutospacing="0" w:afterAutospacing="0" w:line="500" w:lineRule="exact"/>
        <w:jc w:val="center"/>
        <w:rPr>
          <w:rFonts w:ascii="方正小标宋简体" w:hAnsi="方正小标宋简体" w:eastAsia="方正小标宋简体" w:cs="方正小标宋简体"/>
          <w:color w:val="000000" w:themeColor="text1"/>
          <w:sz w:val="44"/>
          <w:szCs w:val="44"/>
          <w:shd w:val="clear" w:color="auto" w:fill="FFFFFF"/>
        </w:rPr>
      </w:pPr>
    </w:p>
    <w:p>
      <w:pPr>
        <w:pStyle w:val="4"/>
        <w:widowControl/>
        <w:numPr>
          <w:ilvl w:val="0"/>
          <w:numId w:val="1"/>
        </w:numPr>
        <w:spacing w:beforeAutospacing="0" w:afterAutospacing="0" w:line="500" w:lineRule="exact"/>
        <w:jc w:val="center"/>
        <w:rPr>
          <w:rFonts w:ascii="黑体" w:hAnsi="宋体" w:eastAsia="黑体" w:cs="黑体"/>
          <w:sz w:val="32"/>
          <w:szCs w:val="32"/>
          <w:shd w:val="clear" w:color="auto" w:fill="FFFFFF"/>
        </w:rPr>
      </w:pPr>
      <w:r>
        <w:rPr>
          <w:rFonts w:ascii="黑体" w:hAnsi="宋体" w:eastAsia="黑体" w:cs="黑体"/>
          <w:sz w:val="32"/>
          <w:szCs w:val="32"/>
          <w:shd w:val="clear" w:color="auto" w:fill="FFFFFF"/>
        </w:rPr>
        <w:t>总 则</w:t>
      </w:r>
    </w:p>
    <w:p>
      <w:pPr>
        <w:pStyle w:val="4"/>
        <w:widowControl/>
        <w:spacing w:beforeAutospacing="0" w:afterAutospacing="0" w:line="500" w:lineRule="exact"/>
        <w:jc w:val="both"/>
        <w:rPr>
          <w:rFonts w:ascii="黑体" w:hAnsi="宋体" w:eastAsia="黑体" w:cs="黑体"/>
          <w:sz w:val="32"/>
          <w:szCs w:val="32"/>
          <w:shd w:val="clear" w:color="auto" w:fill="FFFFFF"/>
        </w:rPr>
      </w:pP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第一条</w:t>
      </w:r>
      <w:r>
        <w:rPr>
          <w:rFonts w:hint="eastAsia" w:ascii="仿宋" w:hAnsi="仿宋" w:eastAsia="仿宋" w:cs="仿宋"/>
          <w:sz w:val="32"/>
          <w:szCs w:val="32"/>
          <w:shd w:val="clear" w:color="auto" w:fill="FFFFFF"/>
        </w:rPr>
        <w:t xml:space="preserve"> 为推进和规范预决算信息公开工作，强化社会监督，促进依法理财，建立健全全面规范、公开透明的预决算制度，根据《中华人民共和国预算法》《中华人民共和国政府信息公开条例》《云南省预决算公开工作考核办法》等有关规定，结合实际，制定本办法。</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xml:space="preserve">第二条 </w:t>
      </w:r>
      <w:r>
        <w:rPr>
          <w:rFonts w:hint="eastAsia" w:ascii="仿宋" w:hAnsi="仿宋" w:eastAsia="仿宋" w:cs="仿宋"/>
          <w:sz w:val="32"/>
          <w:szCs w:val="32"/>
          <w:shd w:val="clear" w:color="auto" w:fill="FFFFFF"/>
        </w:rPr>
        <w:t>本办法所称部门预决算信息包括预算管理体制、预算分配政策、预算编制程序等管理制度，以及预算收支安排、预算执行、预算调整和决算等管理信息。</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xml:space="preserve">第三条 </w:t>
      </w:r>
      <w:r>
        <w:rPr>
          <w:rFonts w:hint="eastAsia" w:ascii="仿宋" w:hAnsi="仿宋" w:eastAsia="仿宋" w:cs="仿宋"/>
          <w:sz w:val="32"/>
          <w:szCs w:val="32"/>
          <w:shd w:val="clear" w:color="auto" w:fill="FFFFFF"/>
        </w:rPr>
        <w:t>预决算信息以公开为常态，不公开为例外。预决算信息公开遵循依法依规、公开及时、真实准确、积极稳妥、形式规范、分级负责的原则。</w:t>
      </w:r>
    </w:p>
    <w:p>
      <w:pPr>
        <w:pStyle w:val="4"/>
        <w:widowControl/>
        <w:spacing w:beforeAutospacing="0" w:afterAutospacing="0" w:line="500" w:lineRule="exact"/>
        <w:jc w:val="both"/>
      </w:pPr>
      <w:r>
        <w:rPr>
          <w:shd w:val="clear" w:color="auto" w:fill="FFFFFF"/>
        </w:rPr>
        <w:t> </w:t>
      </w:r>
    </w:p>
    <w:p>
      <w:pPr>
        <w:pStyle w:val="4"/>
        <w:widowControl/>
        <w:numPr>
          <w:ilvl w:val="0"/>
          <w:numId w:val="1"/>
        </w:numPr>
        <w:spacing w:beforeAutospacing="0" w:afterAutospacing="0" w:line="500" w:lineRule="exact"/>
        <w:jc w:val="center"/>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公开主体和职责</w:t>
      </w:r>
    </w:p>
    <w:p>
      <w:pPr>
        <w:pStyle w:val="4"/>
        <w:widowControl/>
        <w:spacing w:beforeAutospacing="0" w:afterAutospacing="0" w:line="500" w:lineRule="exact"/>
        <w:jc w:val="both"/>
        <w:rPr>
          <w:rFonts w:ascii="黑体" w:hAnsi="宋体" w:eastAsia="黑体" w:cs="黑体"/>
          <w:sz w:val="32"/>
          <w:szCs w:val="32"/>
          <w:shd w:val="clear" w:color="auto" w:fill="FFFFFF"/>
        </w:rPr>
      </w:pPr>
    </w:p>
    <w:p>
      <w:pPr>
        <w:pStyle w:val="4"/>
        <w:widowControl/>
        <w:spacing w:beforeAutospacing="0" w:afterAutospacing="0" w:line="580" w:lineRule="exact"/>
        <w:ind w:firstLine="643" w:firstLineChars="200"/>
        <w:jc w:val="both"/>
      </w:pPr>
      <w:r>
        <w:rPr>
          <w:rFonts w:hint="eastAsia" w:ascii="仿宋" w:hAnsi="仿宋" w:eastAsia="仿宋" w:cs="仿宋"/>
          <w:b/>
          <w:bCs/>
          <w:sz w:val="32"/>
          <w:szCs w:val="32"/>
          <w:shd w:val="clear" w:color="auto" w:fill="FFFFFF"/>
        </w:rPr>
        <w:t xml:space="preserve">第四条 </w:t>
      </w:r>
      <w:r>
        <w:rPr>
          <w:rFonts w:hint="eastAsia" w:ascii="仿宋" w:hAnsi="仿宋" w:eastAsia="仿宋" w:cs="仿宋"/>
          <w:sz w:val="32"/>
          <w:szCs w:val="32"/>
          <w:shd w:val="clear" w:color="auto" w:fill="FFFFFF"/>
        </w:rPr>
        <w:t>部计划财务处负责本单位的部门预决算信息公开工作，履行下列职责：</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（一）制定本单位部门预决算信息公开的工作方案；</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（二）按规定公开本单位的部门预决算信息；</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（三）法律、法规、规章规定的其他职责。</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第五条</w:t>
      </w:r>
      <w:r>
        <w:rPr>
          <w:rFonts w:hint="eastAsia" w:ascii="仿宋" w:hAnsi="仿宋" w:eastAsia="仿宋" w:cs="仿宋"/>
          <w:sz w:val="32"/>
          <w:szCs w:val="32"/>
          <w:shd w:val="clear" w:color="auto" w:fill="FFFFFF"/>
        </w:rPr>
        <w:t xml:space="preserve"> 管理省级财政专项资金的业务处室、单位负责公开财政专项资金政策、项目申报指南、资金分配结果等。</w:t>
      </w:r>
    </w:p>
    <w:p>
      <w:pPr>
        <w:pStyle w:val="4"/>
        <w:widowControl/>
        <w:spacing w:beforeAutospacing="0" w:afterAutospacing="0" w:line="500" w:lineRule="exact"/>
        <w:jc w:val="both"/>
      </w:pPr>
      <w:r>
        <w:rPr>
          <w:shd w:val="clear" w:color="auto" w:fill="FFFFFF"/>
        </w:rPr>
        <w:t> </w:t>
      </w:r>
    </w:p>
    <w:p>
      <w:pPr>
        <w:pStyle w:val="4"/>
        <w:widowControl/>
        <w:spacing w:beforeAutospacing="0" w:afterAutospacing="0" w:line="500" w:lineRule="exact"/>
        <w:ind w:left="3273"/>
        <w:jc w:val="both"/>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第三章公开内容</w:t>
      </w:r>
    </w:p>
    <w:p>
      <w:pPr>
        <w:pStyle w:val="4"/>
        <w:widowControl/>
        <w:spacing w:beforeAutospacing="0" w:afterAutospacing="0" w:line="500" w:lineRule="exact"/>
        <w:ind w:left="3273"/>
        <w:jc w:val="both"/>
        <w:rPr>
          <w:rFonts w:ascii="黑体" w:hAnsi="宋体" w:eastAsia="黑体" w:cs="黑体"/>
          <w:sz w:val="32"/>
          <w:szCs w:val="32"/>
          <w:shd w:val="clear" w:color="auto" w:fill="FFFFFF"/>
        </w:rPr>
      </w:pP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xml:space="preserve">　第六条 </w:t>
      </w:r>
      <w:r>
        <w:rPr>
          <w:rFonts w:hint="eastAsia" w:ascii="仿宋" w:hAnsi="仿宋" w:eastAsia="仿宋" w:cs="仿宋"/>
          <w:sz w:val="32"/>
          <w:szCs w:val="32"/>
          <w:shd w:val="clear" w:color="auto" w:fill="FFFFFF"/>
        </w:rPr>
        <w:t>部门预决算信息（涉密信息除外）公开内容包括：</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（一）单位职责、机构设置、人员和车辆的编制、年度主要工作任务等情况。</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二）预决算收支情况，包括一般公共预算收支情况、政府性基金预算收支情况、机关运行经费情况等，涵盖财政拨款收支、非财政拨款收支情况。预决算支出公开到功能分类的项级科目，按规定公开到经济分类科目。</w:t>
      </w:r>
    </w:p>
    <w:p>
      <w:pPr>
        <w:pStyle w:val="4"/>
        <w:widowControl/>
        <w:spacing w:beforeAutospacing="0" w:afterAutospacing="0"/>
        <w:jc w:val="both"/>
      </w:pPr>
      <w:r>
        <w:rPr>
          <w:rFonts w:hint="eastAsia" w:ascii="仿宋" w:hAnsi="仿宋" w:eastAsia="仿宋" w:cs="仿宋"/>
          <w:sz w:val="32"/>
          <w:szCs w:val="32"/>
          <w:shd w:val="clear" w:color="auto" w:fill="FFFFFF"/>
        </w:rPr>
        <w:t>　　（三）“三公”经费财政拨款预决算总额和分项数额，并对增减变化的原因进行说明。“公务用车购置和运行费”公开为“公务用车购置费”和“公务用车运行费”。“三公”经费决算公开需说明因公出国（境）团组数及人数，公务用车购置数及保有量，国内公务接待的批次、人数、经费总额以及“三公”经费同预算、上年决算数对比变化情况及原因。　　                   （四）政府采购信息，包括政府采购货物、工程、服务的预算总额和分项数额、采购项目公告、采购文件、采购结果等。</w:t>
      </w:r>
    </w:p>
    <w:p>
      <w:pPr>
        <w:pStyle w:val="4"/>
        <w:widowControl/>
        <w:spacing w:beforeAutospacing="0" w:afterAutospacing="0" w:line="58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（五）部门绩效自评情况。包括部门整体支出绩效自评和纳入自评范围的所有项目支出绩效自评报告。</w:t>
      </w: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（六）国有资产占用情况。包括占有使用国有资产的总体情况、分布构成、主要实物资产数据和当年度资产变动情况。</w:t>
      </w:r>
    </w:p>
    <w:p>
      <w:pPr>
        <w:pStyle w:val="4"/>
        <w:widowControl/>
        <w:spacing w:beforeAutospacing="0" w:afterAutospacing="0" w:line="580" w:lineRule="exact"/>
        <w:jc w:val="both"/>
      </w:pPr>
      <w:r>
        <w:rPr>
          <w:shd w:val="clear" w:color="auto" w:fill="FFFFFF"/>
        </w:rPr>
        <w:t> </w:t>
      </w:r>
    </w:p>
    <w:p>
      <w:pPr>
        <w:pStyle w:val="4"/>
        <w:widowControl/>
        <w:spacing w:beforeAutospacing="0" w:afterAutospacing="0" w:line="500" w:lineRule="exact"/>
        <w:jc w:val="center"/>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第四章公开方式和时间</w:t>
      </w:r>
    </w:p>
    <w:p>
      <w:pPr>
        <w:pStyle w:val="4"/>
        <w:widowControl/>
        <w:spacing w:beforeAutospacing="0" w:afterAutospacing="0" w:line="500" w:lineRule="exact"/>
        <w:ind w:left="2793"/>
        <w:jc w:val="both"/>
        <w:rPr>
          <w:rFonts w:ascii="黑体" w:hAnsi="宋体" w:eastAsia="黑体" w:cs="黑体"/>
          <w:sz w:val="32"/>
          <w:szCs w:val="32"/>
          <w:shd w:val="clear" w:color="auto" w:fill="FFFFFF"/>
        </w:rPr>
      </w:pPr>
    </w:p>
    <w:p>
      <w:pPr>
        <w:pStyle w:val="4"/>
        <w:widowControl/>
        <w:spacing w:beforeAutospacing="0" w:afterAutospacing="0" w:line="580" w:lineRule="exact"/>
        <w:jc w:val="both"/>
      </w:pP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第七条</w:t>
      </w:r>
      <w:r>
        <w:rPr>
          <w:rFonts w:hint="eastAsia" w:ascii="仿宋" w:hAnsi="仿宋" w:eastAsia="仿宋" w:cs="仿宋"/>
          <w:sz w:val="32"/>
          <w:szCs w:val="32"/>
          <w:shd w:val="clear" w:color="auto" w:fill="FFFFFF"/>
        </w:rPr>
        <w:t xml:space="preserve"> 预决算信息公开以省财政厅门户网和部门门户网站为主要平台，实行“双公开”，并保持长期公开状态。在本部门门户网站设立预决算公开专栏，汇总集中公开信息，便于社会公众查询监督。</w:t>
      </w:r>
    </w:p>
    <w:p>
      <w:pPr>
        <w:pStyle w:val="4"/>
        <w:widowControl/>
        <w:spacing w:beforeAutospacing="0" w:afterAutospacing="0" w:line="580" w:lineRule="exact"/>
        <w:ind w:firstLine="651"/>
        <w:jc w:val="both"/>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 xml:space="preserve">第八条 </w:t>
      </w:r>
      <w:r>
        <w:rPr>
          <w:rFonts w:hint="eastAsia" w:ascii="仿宋" w:hAnsi="仿宋" w:eastAsia="仿宋" w:cs="仿宋"/>
          <w:sz w:val="32"/>
          <w:szCs w:val="32"/>
          <w:shd w:val="clear" w:color="auto" w:fill="FFFFFF"/>
        </w:rPr>
        <w:t>经本级政府财政部门批复的部门预算、决算及报表，应当在批复后20日内公开，公开地址为省财政厅门户网站和部门门户网站预决算公开专栏。</w:t>
      </w:r>
    </w:p>
    <w:p>
      <w:pPr>
        <w:pStyle w:val="4"/>
        <w:widowControl/>
        <w:spacing w:beforeAutospacing="0" w:afterAutospacing="0" w:line="500" w:lineRule="exact"/>
        <w:ind w:firstLine="651"/>
        <w:jc w:val="both"/>
        <w:rPr>
          <w:rFonts w:ascii="黑体" w:hAnsi="宋体" w:eastAsia="黑体" w:cs="黑体"/>
          <w:sz w:val="32"/>
          <w:szCs w:val="32"/>
          <w:shd w:val="clear" w:color="auto" w:fill="FFFFFF"/>
        </w:rPr>
      </w:pPr>
      <w:r>
        <w:rPr>
          <w:rFonts w:hint="eastAsia" w:ascii="仿宋" w:hAnsi="仿宋" w:eastAsia="仿宋" w:cs="仿宋"/>
          <w:sz w:val="32"/>
          <w:szCs w:val="32"/>
          <w:shd w:val="clear" w:color="auto" w:fill="FFFFFF"/>
        </w:rPr>
        <w:t>　</w:t>
      </w:r>
      <w:r>
        <w:rPr>
          <w:rFonts w:hint="eastAsia" w:ascii="黑体" w:hAnsi="宋体" w:eastAsia="黑体" w:cs="黑体"/>
          <w:sz w:val="32"/>
          <w:szCs w:val="32"/>
          <w:shd w:val="clear" w:color="auto" w:fill="FFFFFF"/>
        </w:rPr>
        <w:t>　</w:t>
      </w:r>
    </w:p>
    <w:p>
      <w:pPr>
        <w:pStyle w:val="4"/>
        <w:widowControl/>
        <w:numPr>
          <w:ilvl w:val="0"/>
          <w:numId w:val="2"/>
        </w:numPr>
        <w:spacing w:beforeAutospacing="0" w:afterAutospacing="0" w:line="500" w:lineRule="exact"/>
        <w:jc w:val="center"/>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附则</w:t>
      </w:r>
    </w:p>
    <w:p>
      <w:pPr>
        <w:pStyle w:val="4"/>
        <w:widowControl/>
        <w:spacing w:beforeAutospacing="0" w:afterAutospacing="0" w:line="500" w:lineRule="exact"/>
        <w:jc w:val="both"/>
        <w:rPr>
          <w:rFonts w:ascii="黑体" w:hAnsi="宋体" w:eastAsia="黑体" w:cs="黑体"/>
          <w:sz w:val="32"/>
          <w:szCs w:val="32"/>
          <w:shd w:val="clear" w:color="auto" w:fill="FFFFFF"/>
        </w:rPr>
      </w:pPr>
    </w:p>
    <w:p>
      <w:pPr>
        <w:pStyle w:val="4"/>
        <w:widowControl/>
        <w:numPr>
          <w:ilvl w:val="0"/>
          <w:numId w:val="3"/>
        </w:numPr>
        <w:spacing w:beforeAutospacing="0" w:afterAutospacing="0" w:line="58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本办法自印发之日起实行。</w:t>
      </w:r>
    </w:p>
    <w:p>
      <w:pPr>
        <w:pStyle w:val="4"/>
        <w:widowControl/>
        <w:spacing w:beforeAutospacing="0" w:afterAutospacing="0" w:line="580" w:lineRule="exact"/>
        <w:jc w:val="both"/>
        <w:rPr>
          <w:rFonts w:ascii="仿宋" w:hAnsi="仿宋" w:eastAsia="仿宋" w:cs="仿宋"/>
          <w:sz w:val="32"/>
          <w:szCs w:val="32"/>
          <w:shd w:val="clear" w:color="auto" w:fill="FFFFFF"/>
        </w:rPr>
      </w:pPr>
    </w:p>
    <w:p>
      <w:pPr>
        <w:pStyle w:val="4"/>
        <w:widowControl/>
        <w:spacing w:beforeAutospacing="0" w:afterAutospacing="0" w:line="580" w:lineRule="exact"/>
        <w:jc w:val="both"/>
        <w:rPr>
          <w:rFonts w:ascii="仿宋" w:hAnsi="仿宋" w:eastAsia="仿宋" w:cs="仿宋"/>
          <w:sz w:val="32"/>
          <w:szCs w:val="32"/>
          <w:shd w:val="clear" w:color="auto" w:fill="FFFFFF"/>
        </w:rPr>
      </w:pPr>
    </w:p>
    <w:p>
      <w:pPr>
        <w:pStyle w:val="4"/>
        <w:widowControl/>
        <w:spacing w:beforeAutospacing="0" w:afterAutospacing="0" w:line="580" w:lineRule="exact"/>
        <w:jc w:val="both"/>
        <w:rPr>
          <w:rFonts w:ascii="仿宋" w:hAnsi="仿宋" w:eastAsia="仿宋" w:cs="仿宋"/>
          <w:sz w:val="32"/>
          <w:szCs w:val="32"/>
          <w:shd w:val="clear" w:color="auto" w:fill="FFFFFF"/>
        </w:rPr>
      </w:pPr>
    </w:p>
    <w:p>
      <w:pPr>
        <w:pStyle w:val="4"/>
        <w:widowControl/>
        <w:spacing w:beforeAutospacing="0" w:afterAutospacing="0" w:line="580" w:lineRule="exact"/>
        <w:jc w:val="both"/>
        <w:rPr>
          <w:rFonts w:ascii="仿宋" w:hAnsi="仿宋" w:eastAsia="仿宋" w:cs="仿宋"/>
          <w:sz w:val="32"/>
          <w:szCs w:val="32"/>
          <w:shd w:val="clear" w:color="auto" w:fill="FFFFFF"/>
        </w:rPr>
      </w:pPr>
    </w:p>
    <w:p>
      <w:pPr>
        <w:pStyle w:val="4"/>
        <w:widowControl/>
        <w:spacing w:beforeAutospacing="0" w:afterAutospacing="0" w:line="580" w:lineRule="exact"/>
        <w:jc w:val="both"/>
        <w:rPr>
          <w:rFonts w:ascii="仿宋" w:hAnsi="仿宋" w:eastAsia="仿宋" w:cs="仿宋"/>
          <w:sz w:val="32"/>
          <w:szCs w:val="32"/>
          <w:shd w:val="clear" w:color="auto" w:fill="FFFFFF"/>
        </w:rPr>
      </w:pPr>
    </w:p>
    <w:p>
      <w:pPr>
        <w:widowControl/>
        <w:shd w:val="clear" w:color="auto" w:fill="FFFFFF"/>
        <w:spacing w:line="700" w:lineRule="exact"/>
        <w:ind w:firstLine="1325" w:firstLineChars="300"/>
        <w:rPr>
          <w:rFonts w:ascii="方正小标宋简体" w:hAnsi="方正小标宋简体" w:eastAsia="方正小标宋简体" w:cs="方正小标宋简体"/>
          <w:b/>
          <w:color w:val="444444"/>
          <w:kern w:val="0"/>
          <w:sz w:val="44"/>
          <w:szCs w:val="44"/>
          <w:shd w:val="clear" w:color="auto" w:fill="FFFFFF"/>
        </w:rPr>
      </w:pPr>
      <w:r>
        <w:rPr>
          <w:rFonts w:hint="eastAsia" w:ascii="方正小标宋简体" w:hAnsi="方正小标宋简体" w:eastAsia="方正小标宋简体" w:cs="方正小标宋简体"/>
          <w:b/>
          <w:color w:val="444444"/>
          <w:kern w:val="0"/>
          <w:sz w:val="44"/>
          <w:szCs w:val="44"/>
          <w:shd w:val="clear" w:color="auto" w:fill="FFFFFF"/>
        </w:rPr>
        <w:t>中共云南省委宣传部预决算</w:t>
      </w:r>
    </w:p>
    <w:p>
      <w:pPr>
        <w:widowControl/>
        <w:shd w:val="clear" w:color="auto" w:fill="FFFFFF"/>
        <w:spacing w:line="700" w:lineRule="exact"/>
        <w:jc w:val="center"/>
        <w:rPr>
          <w:rFonts w:ascii="方正小标宋简体" w:hAnsi="方正小标宋简体" w:eastAsia="方正小标宋简体" w:cs="方正小标宋简体"/>
          <w:b/>
          <w:color w:val="444444"/>
          <w:sz w:val="44"/>
          <w:szCs w:val="44"/>
        </w:rPr>
      </w:pPr>
      <w:r>
        <w:rPr>
          <w:rFonts w:hint="eastAsia" w:ascii="方正小标宋简体" w:hAnsi="方正小标宋简体" w:eastAsia="方正小标宋简体" w:cs="方正小标宋简体"/>
          <w:b/>
          <w:color w:val="444444"/>
          <w:kern w:val="0"/>
          <w:sz w:val="44"/>
          <w:szCs w:val="44"/>
          <w:shd w:val="clear" w:color="auto" w:fill="FFFFFF"/>
        </w:rPr>
        <w:t>公开工作考核办法</w:t>
      </w:r>
    </w:p>
    <w:p>
      <w:pPr>
        <w:pStyle w:val="4"/>
        <w:widowControl/>
        <w:spacing w:beforeAutospacing="0" w:afterAutospacing="0" w:line="60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widowControl/>
        <w:spacing w:beforeAutospacing="0" w:afterAutospacing="0" w:line="600" w:lineRule="exact"/>
        <w:ind w:firstLine="420"/>
        <w:jc w:val="center"/>
        <w:rPr>
          <w:rFonts w:ascii="方正仿宋简体" w:hAnsi="方正仿宋简体" w:eastAsia="方正仿宋简体" w:cs="方正仿宋简体"/>
          <w:b/>
          <w:color w:val="2B2B2B"/>
          <w:sz w:val="32"/>
          <w:szCs w:val="32"/>
          <w:shd w:val="clear" w:color="auto" w:fill="FFFFFF"/>
        </w:rPr>
      </w:pPr>
      <w:r>
        <w:rPr>
          <w:rFonts w:hint="eastAsia" w:ascii="方正仿宋简体" w:hAnsi="方正仿宋简体" w:eastAsia="方正仿宋简体" w:cs="方正仿宋简体"/>
          <w:b/>
          <w:color w:val="2B2B2B"/>
          <w:sz w:val="32"/>
          <w:szCs w:val="32"/>
          <w:shd w:val="clear" w:color="auto" w:fill="FFFFFF"/>
        </w:rPr>
        <w:t>第一章总则</w:t>
      </w:r>
    </w:p>
    <w:p>
      <w:pPr>
        <w:pStyle w:val="4"/>
        <w:spacing w:beforeAutospacing="0" w:afterAutospacing="0" w:line="60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第一条</w:t>
      </w:r>
      <w:r>
        <w:rPr>
          <w:rFonts w:hint="eastAsia" w:ascii="方正仿宋简体" w:hAnsi="方正仿宋简体" w:eastAsia="方正仿宋简体" w:cs="方正仿宋简体"/>
          <w:color w:val="2B2B2B"/>
          <w:sz w:val="32"/>
          <w:szCs w:val="32"/>
          <w:shd w:val="clear" w:color="auto" w:fill="FFFFFF"/>
        </w:rPr>
        <w:t>为建立全面规范透明的预算制度，进一步推进预决算公开工作，强化社会监督，加强预决算公开考核，按照省财政厅要求，制定本办法。</w:t>
      </w: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第二条</w:t>
      </w:r>
      <w:r>
        <w:rPr>
          <w:rFonts w:hint="eastAsia" w:ascii="方正仿宋简体" w:hAnsi="方正仿宋简体" w:eastAsia="方正仿宋简体" w:cs="方正仿宋简体"/>
          <w:color w:val="2B2B2B"/>
          <w:sz w:val="32"/>
          <w:szCs w:val="32"/>
          <w:shd w:val="clear" w:color="auto" w:fill="FFFFFF"/>
        </w:rPr>
        <w:t>预决算是指经省人大通过，省财政厅批复，向社会公开的部门预算、决算及报表。</w:t>
      </w: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第三条</w:t>
      </w:r>
      <w:r>
        <w:rPr>
          <w:rFonts w:hint="eastAsia" w:ascii="方正仿宋简体" w:hAnsi="方正仿宋简体" w:eastAsia="方正仿宋简体" w:cs="方正仿宋简体"/>
          <w:color w:val="2B2B2B"/>
          <w:sz w:val="32"/>
          <w:szCs w:val="32"/>
          <w:shd w:val="clear" w:color="auto" w:fill="FFFFFF"/>
        </w:rPr>
        <w:t>预决算公开考核工作遵循客观公正、突出重点、注重实效的原则，坚持以考核促公开、以公开促规范。</w:t>
      </w: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r>
        <w:rPr>
          <w:rFonts w:hint="eastAsia" w:ascii="方正仿宋简体" w:hAnsi="方正仿宋简体" w:eastAsia="方正仿宋简体" w:cs="方正仿宋简体"/>
          <w:b/>
          <w:color w:val="2B2B2B"/>
          <w:sz w:val="32"/>
          <w:szCs w:val="32"/>
          <w:shd w:val="clear" w:color="auto" w:fill="FFFFFF"/>
        </w:rPr>
        <w:t>第二章考核内容</w:t>
      </w: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第四条</w:t>
      </w:r>
      <w:r>
        <w:rPr>
          <w:rFonts w:hint="eastAsia" w:ascii="方正仿宋简体" w:hAnsi="方正仿宋简体" w:eastAsia="方正仿宋简体" w:cs="方正仿宋简体"/>
          <w:color w:val="2B2B2B"/>
          <w:sz w:val="32"/>
          <w:szCs w:val="32"/>
          <w:shd w:val="clear" w:color="auto" w:fill="FFFFFF"/>
        </w:rPr>
        <w:t>内容包括部门预算公开、部门决算公开和预决算公开管理等。</w:t>
      </w: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第五条</w:t>
      </w:r>
      <w:r>
        <w:rPr>
          <w:rFonts w:hint="eastAsia" w:ascii="方正仿宋简体" w:hAnsi="方正仿宋简体" w:eastAsia="方正仿宋简体" w:cs="方正仿宋简体"/>
          <w:color w:val="2B2B2B"/>
          <w:sz w:val="32"/>
          <w:szCs w:val="32"/>
          <w:shd w:val="clear" w:color="auto" w:fill="FFFFFF"/>
        </w:rPr>
        <w:t>重点对公开的及时性、完整性、细化程度、保密审查、负责人审签、真实性以及预决算公开制度建设、信息上报和舆情管理等方面进行考核。</w:t>
      </w: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r>
        <w:rPr>
          <w:rFonts w:hint="eastAsia" w:ascii="方正仿宋简体" w:hAnsi="方正仿宋简体" w:eastAsia="方正仿宋简体" w:cs="方正仿宋简体"/>
          <w:b/>
          <w:color w:val="2B2B2B"/>
          <w:sz w:val="32"/>
          <w:szCs w:val="32"/>
          <w:shd w:val="clear" w:color="auto" w:fill="FFFFFF"/>
        </w:rPr>
        <w:t>第三章考核方式</w:t>
      </w:r>
    </w:p>
    <w:p>
      <w:pPr>
        <w:pStyle w:val="4"/>
        <w:spacing w:beforeAutospacing="0" w:afterAutospacing="0" w:line="540" w:lineRule="exact"/>
        <w:ind w:firstLine="643" w:firstLineChars="200"/>
        <w:jc w:val="both"/>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第六条</w:t>
      </w:r>
      <w:r>
        <w:rPr>
          <w:rFonts w:hint="eastAsia" w:ascii="方正仿宋简体" w:hAnsi="方正仿宋简体" w:eastAsia="方正仿宋简体" w:cs="方正仿宋简体"/>
          <w:color w:val="2B2B2B"/>
          <w:sz w:val="32"/>
          <w:szCs w:val="32"/>
          <w:shd w:val="clear" w:color="auto" w:fill="FFFFFF"/>
        </w:rPr>
        <w:t>考核采取自评考核与再考核相结合的方式。严格按照本办法规定的考核内容和评分要求组织自评，并接受省财政厅进行再考核。</w:t>
      </w: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b/>
          <w:bCs/>
          <w:color w:val="2B2B2B"/>
          <w:sz w:val="32"/>
          <w:szCs w:val="32"/>
          <w:shd w:val="clear" w:color="auto" w:fill="FFFFFF"/>
        </w:rPr>
        <w:t>第七条</w:t>
      </w:r>
      <w:r>
        <w:rPr>
          <w:rFonts w:hint="eastAsia" w:ascii="方正仿宋简体" w:hAnsi="方正仿宋简体" w:eastAsia="方正仿宋简体" w:cs="方正仿宋简体"/>
          <w:color w:val="2B2B2B"/>
          <w:sz w:val="32"/>
          <w:szCs w:val="32"/>
          <w:shd w:val="clear" w:color="auto" w:fill="FFFFFF"/>
        </w:rPr>
        <w:t>自评考核实行百分制，预算公开40分、决算公开45分、预决算公开管理15分，共100分。根据预决算公开考核表所列内容得分或扣分。</w:t>
      </w: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r>
        <w:rPr>
          <w:rFonts w:hint="eastAsia" w:ascii="方正仿宋简体" w:hAnsi="方正仿宋简体" w:eastAsia="方正仿宋简体" w:cs="方正仿宋简体"/>
          <w:b/>
          <w:color w:val="2B2B2B"/>
          <w:sz w:val="32"/>
          <w:szCs w:val="32"/>
          <w:shd w:val="clear" w:color="auto" w:fill="FFFFFF"/>
        </w:rPr>
        <w:t>第四章附则</w:t>
      </w:r>
    </w:p>
    <w:p>
      <w:pPr>
        <w:pStyle w:val="4"/>
        <w:spacing w:beforeAutospacing="0" w:afterAutospacing="0" w:line="540" w:lineRule="exact"/>
        <w:ind w:firstLine="420"/>
        <w:jc w:val="center"/>
        <w:rPr>
          <w:rFonts w:ascii="方正仿宋简体" w:hAnsi="方正仿宋简体" w:eastAsia="方正仿宋简体" w:cs="方正仿宋简体"/>
          <w:b/>
          <w:color w:val="2B2B2B"/>
          <w:sz w:val="32"/>
          <w:szCs w:val="32"/>
          <w:shd w:val="clear" w:color="auto" w:fill="FFFFFF"/>
        </w:rPr>
      </w:pPr>
    </w:p>
    <w:p>
      <w:pPr>
        <w:pStyle w:val="4"/>
        <w:spacing w:beforeAutospacing="0" w:afterAutospacing="0" w:line="540" w:lineRule="exact"/>
        <w:ind w:firstLine="643" w:firstLineChars="200"/>
        <w:rPr>
          <w:rFonts w:ascii="方正仿宋简体" w:hAnsi="方正仿宋简体" w:eastAsia="方正仿宋简体" w:cs="方正仿宋简体"/>
          <w:color w:val="2B2B2B"/>
          <w:sz w:val="32"/>
          <w:szCs w:val="32"/>
          <w:shd w:val="clear" w:color="auto" w:fill="FFFFFF"/>
        </w:rPr>
      </w:pPr>
      <w:r>
        <w:rPr>
          <w:rFonts w:hint="eastAsia" w:ascii="方正仿宋简体" w:hAnsi="方正仿宋简体" w:eastAsia="方正仿宋简体" w:cs="方正仿宋简体"/>
          <w:b/>
          <w:bCs/>
          <w:color w:val="2B2B2B"/>
          <w:sz w:val="32"/>
          <w:szCs w:val="32"/>
          <w:shd w:val="clear" w:color="auto" w:fill="FFFFFF"/>
        </w:rPr>
        <w:t>第八条</w:t>
      </w:r>
      <w:r>
        <w:rPr>
          <w:rFonts w:hint="eastAsia" w:ascii="方正仿宋简体" w:hAnsi="方正仿宋简体" w:eastAsia="方正仿宋简体" w:cs="方正仿宋简体"/>
          <w:color w:val="2B2B2B"/>
          <w:sz w:val="32"/>
          <w:szCs w:val="32"/>
          <w:shd w:val="clear" w:color="auto" w:fill="FFFFFF"/>
        </w:rPr>
        <w:t>本办法自公布之日起施行。</w:t>
      </w:r>
    </w:p>
    <w:p>
      <w:pPr>
        <w:pStyle w:val="4"/>
        <w:spacing w:beforeAutospacing="0" w:afterAutospacing="0" w:line="540" w:lineRule="exact"/>
        <w:ind w:firstLine="640" w:firstLineChars="200"/>
        <w:rPr>
          <w:rFonts w:ascii="方正仿宋简体" w:hAnsi="方正仿宋简体" w:eastAsia="方正仿宋简体" w:cs="方正仿宋简体"/>
          <w:color w:val="2B2B2B"/>
          <w:sz w:val="32"/>
          <w:szCs w:val="32"/>
        </w:rPr>
      </w:pPr>
      <w:r>
        <w:rPr>
          <w:rFonts w:hint="eastAsia" w:ascii="方正仿宋简体" w:hAnsi="方正仿宋简体" w:eastAsia="方正仿宋简体" w:cs="方正仿宋简体"/>
          <w:color w:val="2B2B2B"/>
          <w:sz w:val="32"/>
          <w:szCs w:val="32"/>
          <w:shd w:val="clear" w:color="auto" w:fill="FFFFFF"/>
        </w:rPr>
        <w:t>附件：中共云南省委宣传部预决算公开考核表</w:t>
      </w:r>
    </w:p>
    <w:p>
      <w:pPr>
        <w:spacing w:line="540" w:lineRule="exact"/>
        <w:rPr>
          <w:rFonts w:ascii="方正仿宋简体" w:hAnsi="方正仿宋简体" w:eastAsia="方正仿宋简体" w:cs="方正仿宋简体"/>
          <w:sz w:val="32"/>
          <w:szCs w:val="32"/>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p>
      <w:pPr>
        <w:spacing w:line="540" w:lineRule="exact"/>
        <w:rPr>
          <w:rFonts w:ascii="黑体" w:hAnsi="宋体" w:eastAsia="黑体" w:cs="黑体"/>
          <w:b/>
          <w:color w:val="000000"/>
          <w:kern w:val="0"/>
          <w:sz w:val="18"/>
          <w:szCs w:val="18"/>
        </w:rPr>
      </w:pPr>
    </w:p>
    <w:tbl>
      <w:tblPr>
        <w:tblStyle w:val="5"/>
        <w:tblW w:w="9500" w:type="dxa"/>
        <w:tblInd w:w="0" w:type="dxa"/>
        <w:tblLayout w:type="fixed"/>
        <w:tblCellMar>
          <w:top w:w="0" w:type="dxa"/>
          <w:left w:w="0" w:type="dxa"/>
          <w:bottom w:w="0" w:type="dxa"/>
          <w:right w:w="0" w:type="dxa"/>
        </w:tblCellMar>
      </w:tblPr>
      <w:tblGrid>
        <w:gridCol w:w="1071"/>
        <w:gridCol w:w="2609"/>
        <w:gridCol w:w="3093"/>
        <w:gridCol w:w="917"/>
        <w:gridCol w:w="901"/>
        <w:gridCol w:w="909"/>
      </w:tblGrid>
      <w:tr>
        <w:tblPrEx>
          <w:tblLayout w:type="fixed"/>
          <w:tblCellMar>
            <w:top w:w="0" w:type="dxa"/>
            <w:left w:w="0" w:type="dxa"/>
            <w:bottom w:w="0" w:type="dxa"/>
            <w:right w:w="0" w:type="dxa"/>
          </w:tblCellMar>
        </w:tblPrEx>
        <w:trPr>
          <w:cantSplit/>
          <w:trHeight w:val="490" w:hRule="atLeast"/>
        </w:trPr>
        <w:tc>
          <w:tcPr>
            <w:tcW w:w="9500" w:type="dxa"/>
            <w:gridSpan w:val="6"/>
            <w:tcBorders>
              <w:top w:val="nil"/>
              <w:left w:val="nil"/>
              <w:bottom w:val="nil"/>
              <w:right w:val="nil"/>
            </w:tcBorders>
            <w:shd w:val="clear" w:color="auto" w:fill="FFFFFF"/>
            <w:noWrap/>
            <w:tcMar>
              <w:top w:w="10" w:type="dxa"/>
              <w:left w:w="10" w:type="dxa"/>
              <w:right w:w="10" w:type="dxa"/>
            </w:tcMar>
            <w:vAlign w:val="center"/>
          </w:tcPr>
          <w:p>
            <w:pPr>
              <w:widowControl/>
              <w:spacing w:line="580" w:lineRule="exact"/>
              <w:jc w:val="center"/>
              <w:textAlignment w:val="center"/>
              <w:rPr>
                <w:rFonts w:ascii="黑体" w:hAnsi="宋体" w:eastAsia="黑体" w:cs="黑体"/>
                <w:b/>
                <w:color w:val="000000"/>
                <w:sz w:val="18"/>
                <w:szCs w:val="18"/>
              </w:rPr>
            </w:pPr>
            <w:r>
              <w:rPr>
                <w:rFonts w:hint="eastAsia" w:ascii="方正小标宋简体" w:hAnsi="方正小标宋简体" w:eastAsia="方正小标宋简体" w:cs="方正小标宋简体"/>
                <w:b/>
                <w:color w:val="000000"/>
                <w:kern w:val="0"/>
                <w:sz w:val="44"/>
                <w:szCs w:val="44"/>
              </w:rPr>
              <w:t>中共云南省委宣传部预决算公开考核表</w:t>
            </w:r>
          </w:p>
        </w:tc>
      </w:tr>
      <w:tr>
        <w:tblPrEx>
          <w:tblLayout w:type="fixed"/>
          <w:tblCellMar>
            <w:top w:w="0" w:type="dxa"/>
            <w:left w:w="0" w:type="dxa"/>
            <w:bottom w:w="0" w:type="dxa"/>
            <w:right w:w="0" w:type="dxa"/>
          </w:tblCellMar>
        </w:tblPrEx>
        <w:trPr>
          <w:cantSplit/>
          <w:trHeight w:val="636" w:hRule="atLeast"/>
        </w:trPr>
        <w:tc>
          <w:tcPr>
            <w:tcW w:w="1071" w:type="dxa"/>
            <w:tcBorders>
              <w:top w:val="nil"/>
              <w:left w:val="nil"/>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单位名称：  </w:t>
            </w:r>
          </w:p>
        </w:tc>
        <w:tc>
          <w:tcPr>
            <w:tcW w:w="2609" w:type="dxa"/>
            <w:tcBorders>
              <w:top w:val="nil"/>
              <w:left w:val="nil"/>
              <w:bottom w:val="single" w:color="000000" w:sz="4" w:space="0"/>
              <w:right w:val="nil"/>
            </w:tcBorders>
            <w:shd w:val="clear" w:color="auto" w:fill="FFFFFF"/>
            <w:noWrap/>
            <w:tcMar>
              <w:top w:w="10" w:type="dxa"/>
              <w:left w:w="10" w:type="dxa"/>
              <w:right w:w="10" w:type="dxa"/>
            </w:tcMar>
            <w:vAlign w:val="center"/>
          </w:tcPr>
          <w:p>
            <w:pPr>
              <w:spacing w:line="240" w:lineRule="exact"/>
              <w:rPr>
                <w:rFonts w:ascii="宋体" w:hAnsi="宋体" w:eastAsia="宋体" w:cs="宋体"/>
                <w:b/>
                <w:color w:val="000000"/>
                <w:sz w:val="18"/>
                <w:szCs w:val="18"/>
              </w:rPr>
            </w:pPr>
          </w:p>
        </w:tc>
        <w:tc>
          <w:tcPr>
            <w:tcW w:w="3093" w:type="dxa"/>
            <w:tcBorders>
              <w:top w:val="nil"/>
              <w:left w:val="nil"/>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考核形式：</w:t>
            </w:r>
          </w:p>
        </w:tc>
        <w:tc>
          <w:tcPr>
            <w:tcW w:w="917" w:type="dxa"/>
            <w:tcBorders>
              <w:top w:val="nil"/>
              <w:left w:val="nil"/>
              <w:bottom w:val="nil"/>
              <w:right w:val="nil"/>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1" w:type="dxa"/>
            <w:tcBorders>
              <w:top w:val="nil"/>
              <w:left w:val="nil"/>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考核年度：</w:t>
            </w:r>
          </w:p>
        </w:tc>
        <w:tc>
          <w:tcPr>
            <w:tcW w:w="909" w:type="dxa"/>
            <w:tcBorders>
              <w:top w:val="nil"/>
              <w:left w:val="nil"/>
              <w:bottom w:val="nil"/>
              <w:right w:val="nil"/>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35" w:hRule="atLeast"/>
        </w:trPr>
        <w:tc>
          <w:tcPr>
            <w:tcW w:w="3680" w:type="dxa"/>
            <w:gridSpan w:val="2"/>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考核内容</w:t>
            </w:r>
          </w:p>
        </w:tc>
        <w:tc>
          <w:tcPr>
            <w:tcW w:w="309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评分标准</w:t>
            </w:r>
          </w:p>
        </w:tc>
        <w:tc>
          <w:tcPr>
            <w:tcW w:w="917"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分值</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设置</w:t>
            </w:r>
          </w:p>
        </w:tc>
        <w:tc>
          <w:tcPr>
            <w:tcW w:w="901"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考核</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得分</w:t>
            </w:r>
          </w:p>
        </w:tc>
        <w:tc>
          <w:tcPr>
            <w:tcW w:w="9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说明</w:t>
            </w:r>
          </w:p>
        </w:tc>
      </w:tr>
      <w:tr>
        <w:tblPrEx>
          <w:tblLayout w:type="fixed"/>
          <w:tblCellMar>
            <w:top w:w="0" w:type="dxa"/>
            <w:left w:w="0" w:type="dxa"/>
            <w:bottom w:w="0" w:type="dxa"/>
            <w:right w:w="0" w:type="dxa"/>
          </w:tblCellMar>
        </w:tblPrEx>
        <w:trPr>
          <w:cantSplit/>
          <w:trHeight w:val="427" w:hRule="atLeast"/>
        </w:trPr>
        <w:tc>
          <w:tcPr>
            <w:tcW w:w="6773" w:type="dxa"/>
            <w:gridSpan w:val="3"/>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100</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r>
      <w:tr>
        <w:tblPrEx>
          <w:tblLayout w:type="fixed"/>
          <w:tblCellMar>
            <w:top w:w="0" w:type="dxa"/>
            <w:left w:w="0" w:type="dxa"/>
            <w:bottom w:w="0" w:type="dxa"/>
            <w:right w:w="0" w:type="dxa"/>
          </w:tblCellMar>
        </w:tblPrEx>
        <w:trPr>
          <w:cantSplit/>
          <w:trHeight w:val="605" w:hRule="atLeast"/>
        </w:trPr>
        <w:tc>
          <w:tcPr>
            <w:tcW w:w="3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一、部门预算公开</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45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r>
      <w:tr>
        <w:tblPrEx>
          <w:tblLayout w:type="fixed"/>
          <w:tblCellMar>
            <w:top w:w="0" w:type="dxa"/>
            <w:left w:w="0" w:type="dxa"/>
            <w:bottom w:w="0" w:type="dxa"/>
            <w:right w:w="0" w:type="dxa"/>
          </w:tblCellMar>
        </w:tblPrEx>
        <w:trPr>
          <w:cantSplit/>
          <w:trHeight w:val="1004" w:hRule="atLeast"/>
        </w:trPr>
        <w:tc>
          <w:tcPr>
            <w:tcW w:w="1071" w:type="dxa"/>
            <w:vMerge w:val="restart"/>
            <w:tcBorders>
              <w:top w:val="nil"/>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及时性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批复后20日内在省政府网站公开平台公开 </w:t>
            </w:r>
          </w:p>
        </w:tc>
        <w:tc>
          <w:tcPr>
            <w:tcW w:w="3093" w:type="dxa"/>
            <w:tcBorders>
              <w:top w:val="nil"/>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未在批复后20日内于省政府网站统一公开的不得分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75" w:hRule="atLeast"/>
        </w:trPr>
        <w:tc>
          <w:tcPr>
            <w:tcW w:w="1071" w:type="dxa"/>
            <w:vMerge w:val="continue"/>
            <w:tcBorders>
              <w:top w:val="nil"/>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批复后20日内在本部门网站醒目位置公开 </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未在本部门网站公开或未在批复后20日内公开的扣2分，在本部门网站公开但未在醒目位置公开的扣l分，无部门网站的不扣分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restart"/>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完整性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（20分）    </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部门汇总预算   </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未公开部门汇总预算不得分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16"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部门职责和机构设置情况</w:t>
            </w:r>
          </w:p>
        </w:tc>
        <w:tc>
          <w:tcPr>
            <w:tcW w:w="3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未对部门职责和机构设置任一项内容进行说明的，不得分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部门收支总体情况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部门一般公共预算收支情况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部门政府性基金收支情况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部门国有资本经营预算收支情况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649"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各项收支增减变化情况</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未对收支总体情况、一般公共预算收支、政府性基金收支，国资预算收支等4项内容中任意l项内容的增减变化情况及变化原因进行说明的，不得分（明确说明无某项收支的，该项不考核）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2057"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“三公”经费增减变化及原因 </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公”经费总额说明0.5分、“三公”经费分项说明0.5分、“三公”经费增减变化情况0.5分、“三公”经费增减变化原因0.5分（部门无一般公共预算安排的“三公”经费，需明确说明，并说明其他来源安排的“三公”经费增减变化及原因；按照“三公”经费只减不增的要求，与上年持平的也应说明原因）</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政府采购情况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未说明的不得分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国有资产占用情况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未说明的不得分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预算绩效管理情况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未说明的不得分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672"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机关运行经费安排</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未说明的不得分，未说明增减变化情况及原因的不得分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专业名词解释</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无专业名词解释的不得分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部门收支总表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部门收入总表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部门支出总表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财政拨款收支总表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一般公共预算支出表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一般公共预算基本支出表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709"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政府性基金预算支出表</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未公开独立表格的不得分，政府性基金收支可在一张表上公开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一般公共预算“三公”经费支出表</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未公开独立表格的不得分，一般公共预算“三公”经费及会议费培训费可在一张表上公开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537"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细化程度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（10分）      </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一般公共预算支出情况表公开到功能分类项级科目</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未公开到功能分类项级科目不得分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503"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一般公共预算基本支出表公开到经济性质分类款级科目</w:t>
            </w:r>
          </w:p>
        </w:tc>
        <w:tc>
          <w:tcPr>
            <w:tcW w:w="3093" w:type="dxa"/>
            <w:tcBorders>
              <w:top w:val="single" w:color="000000" w:sz="4" w:space="0"/>
              <w:left w:val="nil"/>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未公开到经济性质分类款级科目不得分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323"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一般公共预算“三公经费支出表”按“因公出国（境）费”、“公务用车购置及运行费”、“公务接待费”公开</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未分项公开不得分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“公务用车购置及运行费”应当细化到“公务用车购置费”、“公务用车运行费”两个项目</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7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保密审查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本部门保密审查后公开     </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公开说明及报表中无“保密审查情况：已审查”或相关表述的不得分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7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负责人审签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本部门主要负责人审签后公开</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公开说明及报表中无“部门主要负责人审签情况：已审签”或相关表述的不得分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35" w:hRule="atLeast"/>
        </w:trPr>
        <w:tc>
          <w:tcPr>
            <w:tcW w:w="3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二、部门决算公开</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45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r>
      <w:tr>
        <w:tblPrEx>
          <w:tblLayout w:type="fixed"/>
          <w:tblCellMar>
            <w:top w:w="0" w:type="dxa"/>
            <w:left w:w="0" w:type="dxa"/>
            <w:bottom w:w="0" w:type="dxa"/>
            <w:right w:w="0" w:type="dxa"/>
          </w:tblCellMar>
        </w:tblPrEx>
        <w:trPr>
          <w:cantSplit/>
          <w:trHeight w:val="1004" w:hRule="atLeast"/>
        </w:trPr>
        <w:tc>
          <w:tcPr>
            <w:tcW w:w="1071" w:type="dxa"/>
            <w:vMerge w:val="restart"/>
            <w:tcBorders>
              <w:top w:val="nil"/>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及时性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批复后20日内在省政府网站公开平台公开 </w:t>
            </w:r>
          </w:p>
        </w:tc>
        <w:tc>
          <w:tcPr>
            <w:tcW w:w="3093" w:type="dxa"/>
            <w:tcBorders>
              <w:top w:val="nil"/>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未在批复后20日内于省政府网站统一公开的不得分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323" w:hRule="atLeast"/>
        </w:trPr>
        <w:tc>
          <w:tcPr>
            <w:tcW w:w="1071" w:type="dxa"/>
            <w:vMerge w:val="continue"/>
            <w:tcBorders>
              <w:top w:val="nil"/>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批复后20日内在本部门网站醒目位置公开 </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未在本部门网站公开或未在批复后20日内公开的扣2分，在本部门网站公开但未在醒目位置公开的扣l分，无部门网站的不扣分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restart"/>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完整性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（17分）    </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部门汇总决算  </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未公开部门汇总决算不得分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16"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部门职责和机构设置情况</w:t>
            </w:r>
          </w:p>
        </w:tc>
        <w:tc>
          <w:tcPr>
            <w:tcW w:w="3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未对部门职责和机构设置任一项内容进行说明的，不得分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部门收支总体情况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部门一般公共预算收支情况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部门政府性基金收支情况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部门国有资本经营预算收支情况</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未对此项内容进行说明不得分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519"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各项收支增减变化情况</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未对收支总体情况、一般公共预算收支、政府性基金收支，国资预算收支等4项内容中任意l项内容的增减变化情况及变化原因进行说明的，不得分（明确说明无某项收支的，该项不考核）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2022"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“三公”经费增减变化及原因</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（须包含总额、分项数额及增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减变化原因等） </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“三公”经费总额说明0.5分、 “三公”经费分项说明0.5分、“三公”经费增减变化情况0.5分、 “三公”经费增减变化原因0.5分（部门无一般公共预算安排的“三公”经费，需明确说明，并说明其他来源安排的“三公”经费增减变化及原因；按照“三公”经费只减不增的要求，与上年持平的也应说明原因）</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政府采购情况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未说明的不得分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国有资产占用情况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未说明的不得分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预算绩效管理等情况</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未说明的不得分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672"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机关运行经费安排</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未说明的不得分，未说明增减变化情况及原因的不得分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专业名词解释</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无专业名词解释的不得分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部门收支总表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部门收入总表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部门支出总表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财政拨款收支总表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一般公共预算支出表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53"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一般公共预算基本支出表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729"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政府性基金预算支出表</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未公开独立表格的不得分，政府性基金收支可在一张表上公开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continue"/>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一般公共预算“三公”经费支出表</w:t>
            </w:r>
          </w:p>
        </w:tc>
        <w:tc>
          <w:tcPr>
            <w:tcW w:w="3093" w:type="dxa"/>
            <w:tcBorders>
              <w:top w:val="single" w:color="000000" w:sz="4" w:space="0"/>
              <w:left w:val="single" w:color="000000" w:sz="4" w:space="0"/>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未公开独立表格的不得分，一般公共预算“三公”经费及会议费培训费可在一张表上公开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细化程度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（8分）      </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一般公共预算支出情况表公开到功能分类项级科目</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未公开到功能分类项级科目不得分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一般公共预算基本支出表公开到经济性质分类款级科目</w:t>
            </w:r>
          </w:p>
        </w:tc>
        <w:tc>
          <w:tcPr>
            <w:tcW w:w="3093" w:type="dxa"/>
            <w:tcBorders>
              <w:top w:val="single" w:color="000000" w:sz="4" w:space="0"/>
              <w:left w:val="nil"/>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未公开到经济性质分类款级科目不得分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323"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一般公共预算“三公经费支出表”按“因公出国（境）费”、“公务用车购置及运行费”、“公务接待费”公开</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未分项公开不得分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“公务用车购置及运行费”应当细化到“公务用车购置费”、“公务用车运行费”两个项目</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因公出国（境）团组数及人数</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公务用车购置数及购置费</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公务用车保有量及运行费用</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41"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国内公务接待的批次、人数</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未细化公开不得分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7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保密审查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本部门保密审查后公开     </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公开说明及报表中无“保密审查情况：已审查”或相关表述的不得分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87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负责人审签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本部门主要负责人审签后公开</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公开说明及报表中无“部门主要负责人审签情况：已审签”或相关表述的不得分     </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336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真实性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部门决算虚列收入支出、“三公”经费不真实、决算数据不真实等情况</w:t>
            </w:r>
          </w:p>
        </w:tc>
        <w:tc>
          <w:tcPr>
            <w:tcW w:w="309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未发现真实性问题得满分；因决算数据不真实被社会公众、检查机构正式指出的，每发现 l次扣5分，得分可为负分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对决算公开数据的真实性及报送财政部门的决算公开有关统计报表报告的真实性负责</w:t>
            </w:r>
          </w:p>
        </w:tc>
      </w:tr>
      <w:tr>
        <w:tblPrEx>
          <w:tblLayout w:type="fixed"/>
          <w:tblCellMar>
            <w:top w:w="0" w:type="dxa"/>
            <w:left w:w="0" w:type="dxa"/>
            <w:bottom w:w="0" w:type="dxa"/>
            <w:right w:w="0" w:type="dxa"/>
          </w:tblCellMar>
        </w:tblPrEx>
        <w:trPr>
          <w:cantSplit/>
          <w:trHeight w:val="835" w:hRule="atLeast"/>
        </w:trPr>
        <w:tc>
          <w:tcPr>
            <w:tcW w:w="3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三、预决算公开管理</w:t>
            </w:r>
          </w:p>
        </w:tc>
        <w:tc>
          <w:tcPr>
            <w:tcW w:w="3093" w:type="dxa"/>
            <w:tcBorders>
              <w:top w:val="single" w:color="000000" w:sz="4" w:space="0"/>
              <w:left w:val="single" w:color="000000" w:sz="4" w:space="0"/>
              <w:bottom w:val="single" w:color="000000" w:sz="4" w:space="0"/>
              <w:right w:val="nil"/>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b/>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完善制度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部门预决算公开管理办法</w:t>
            </w:r>
          </w:p>
        </w:tc>
        <w:tc>
          <w:tcPr>
            <w:tcW w:w="3093" w:type="dxa"/>
            <w:tcBorders>
              <w:top w:val="nil"/>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制定部门预决算公开管理办法并在检查时能够提供办法文件的，得2分，不能提供不得分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997"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部门预决算公开考核办法</w:t>
            </w:r>
          </w:p>
        </w:tc>
        <w:tc>
          <w:tcPr>
            <w:tcW w:w="3093" w:type="dxa"/>
            <w:tcBorders>
              <w:top w:val="single" w:color="000000" w:sz="4" w:space="0"/>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制定部门预决算公开考核办法并在检查时能够提供办法文件的，得2分，不能提供不得分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00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信息上报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按要求向省财政厅报送预决算公开工作进展情况、自评情况和相关统计表及报告</w:t>
            </w:r>
          </w:p>
        </w:tc>
        <w:tc>
          <w:tcPr>
            <w:tcW w:w="3093" w:type="dxa"/>
            <w:tcBorders>
              <w:top w:val="nil"/>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各项材料均及时，完整、准确报送得满分，每延时、漏报、错报一次扣1分，扣完为止</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cantSplit/>
          <w:trHeight w:val="1985" w:hRule="atLeast"/>
        </w:trPr>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舆情管理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(4分）</w:t>
            </w:r>
          </w:p>
        </w:tc>
        <w:tc>
          <w:tcPr>
            <w:tcW w:w="26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加强预决算公开过程中的舆情管理．对社会公众反映的共性、倾向性情况，及时收集梳理、认真研究处理</w:t>
            </w:r>
          </w:p>
        </w:tc>
        <w:tc>
          <w:tcPr>
            <w:tcW w:w="3093" w:type="dxa"/>
            <w:tcBorders>
              <w:top w:val="nil"/>
              <w:left w:val="nil"/>
              <w:bottom w:val="single" w:color="000000" w:sz="4" w:space="0"/>
              <w:right w:val="nil"/>
            </w:tcBorders>
            <w:shd w:val="clear" w:color="auto" w:fill="FFFFFF"/>
            <w:tcMar>
              <w:top w:w="10" w:type="dxa"/>
              <w:left w:w="10" w:type="dxa"/>
              <w:right w:w="10" w:type="dxa"/>
            </w:tcMar>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舆情管理不力，因部门预决算公开问题造成不良影响的，每次扣2分；造成重大不良影响，或被省级财政、审计等部门通报的，每次扣3分；造成特别重大不良影响，或被省政府、财政部、审计署等通报的，每次扣6分。得分可为负分</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40" w:lineRule="exact"/>
              <w:jc w:val="center"/>
              <w:rPr>
                <w:rFonts w:ascii="宋体" w:hAnsi="宋体" w:eastAsia="宋体" w:cs="宋体"/>
                <w:color w:val="000000"/>
                <w:sz w:val="18"/>
                <w:szCs w:val="18"/>
              </w:rPr>
            </w:pPr>
          </w:p>
        </w:tc>
      </w:tr>
    </w:tbl>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700" w:lineRule="exact"/>
        <w:ind w:firstLine="440" w:firstLineChars="100"/>
        <w:rPr>
          <w:rFonts w:hint="eastAsia" w:ascii="方正小标宋简体" w:hAnsi="方正小标宋简体" w:eastAsia="方正小标宋简体" w:cs="方正小标宋简体"/>
          <w:color w:val="000000"/>
          <w:sz w:val="44"/>
          <w:szCs w:val="44"/>
        </w:rPr>
      </w:pPr>
    </w:p>
    <w:p>
      <w:pPr>
        <w:spacing w:line="520" w:lineRule="exact"/>
        <w:rPr>
          <w:rFonts w:ascii="仿宋" w:hAnsi="仿宋" w:eastAsia="仿宋" w:cs="仿宋"/>
          <w:sz w:val="32"/>
          <w:szCs w:val="32"/>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BA27E"/>
    <w:multiLevelType w:val="singleLevel"/>
    <w:tmpl w:val="F8DBA27E"/>
    <w:lvl w:ilvl="0" w:tentative="0">
      <w:start w:val="9"/>
      <w:numFmt w:val="chineseCounting"/>
      <w:suff w:val="space"/>
      <w:lvlText w:val="第%1条"/>
      <w:lvlJc w:val="left"/>
      <w:rPr>
        <w:rFonts w:hint="eastAsia"/>
      </w:rPr>
    </w:lvl>
  </w:abstractNum>
  <w:abstractNum w:abstractNumId="1">
    <w:nsid w:val="23238819"/>
    <w:multiLevelType w:val="singleLevel"/>
    <w:tmpl w:val="23238819"/>
    <w:lvl w:ilvl="0" w:tentative="0">
      <w:start w:val="1"/>
      <w:numFmt w:val="chineseCounting"/>
      <w:suff w:val="space"/>
      <w:lvlText w:val="第%1章"/>
      <w:lvlJc w:val="left"/>
      <w:rPr>
        <w:rFonts w:hint="eastAsia"/>
      </w:rPr>
    </w:lvl>
  </w:abstractNum>
  <w:abstractNum w:abstractNumId="2">
    <w:nsid w:val="3471142D"/>
    <w:multiLevelType w:val="singleLevel"/>
    <w:tmpl w:val="3471142D"/>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172FBD"/>
    <w:rsid w:val="003D32AE"/>
    <w:rsid w:val="004F67AB"/>
    <w:rsid w:val="00806F30"/>
    <w:rsid w:val="009202F6"/>
    <w:rsid w:val="00A53914"/>
    <w:rsid w:val="00DA0087"/>
    <w:rsid w:val="00DA6CAE"/>
    <w:rsid w:val="02A23A58"/>
    <w:rsid w:val="058F4FF0"/>
    <w:rsid w:val="0C172FBD"/>
    <w:rsid w:val="0CB90A34"/>
    <w:rsid w:val="10231EC1"/>
    <w:rsid w:val="18484221"/>
    <w:rsid w:val="1BB63B98"/>
    <w:rsid w:val="1F881832"/>
    <w:rsid w:val="225019D0"/>
    <w:rsid w:val="38134BF6"/>
    <w:rsid w:val="3D012641"/>
    <w:rsid w:val="46F2139C"/>
    <w:rsid w:val="47784587"/>
    <w:rsid w:val="4C317E9B"/>
    <w:rsid w:val="57BA74FE"/>
    <w:rsid w:val="6B8C2DF3"/>
    <w:rsid w:val="71332725"/>
    <w:rsid w:val="766C1E1C"/>
    <w:rsid w:val="775B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中共云南省委员会</Company>
  <Pages>11</Pages>
  <Words>853</Words>
  <Characters>4868</Characters>
  <Lines>40</Lines>
  <Paragraphs>11</Paragraphs>
  <TotalTime>80</TotalTime>
  <ScaleCrop>false</ScaleCrop>
  <LinksUpToDate>false</LinksUpToDate>
  <CharactersWithSpaces>5710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2021-11-16T07:21:00Z</dcterms:created>
  <dc:creator>Administrator</dc:creator>
  <cp:lastModifiedBy>徐顺禄</cp:lastModifiedBy>
  <cp:lastPrinted>2020-10-23T09:28:00Z</cp:lastPrinted>
  <dcterms:modified xsi:type="dcterms:W3CDTF">2021-12-20T03:08:38Z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